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341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34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89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900"/>
          <w:sz w:val="26"/>
          <w:szCs w:val="26"/>
          <w:u w:val="none"/>
          <w:shd w:fill="auto" w:val="clear"/>
          <w:vertAlign w:val="baseline"/>
          <w:rtl w:val="0"/>
        </w:rPr>
        <w:t xml:space="preserve">อาจารย์สราญ เพิ่มพูล ผู้ช่วยศาสตราจารย์ ดร.พิสุทธิ์ เนียมทรัพย์ ผู้ช่วยศาสตราจารย์สุเมธ ศิรินิรันดร์ รองศาสตราจารย์นิพนธ์ ไชยมงคล อาจารย์ประสาร วงศ์มณีรุ่ง ผู้ช่วยศาสตราจารย์ปัทมา สิทธิชัย อาจารย์ขนิษฐา ดวงสงค์ ผู้ช่วยศาสตราจารย์พึ่งพร เนียมทรัพย์ รองศาสตราจารย์สวิก เพิ่งอัน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4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กรรมการสภาสถาบันจากผู้แทนคณาจารย์ เลขานุการสภาสถาบันฯ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