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เรื่อง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Nucleotide Sequence of a novel arylesterase gene from Vivrio mimicus and characterization of the enzyme in E. coli.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เรื่อง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Subunit interaction enhances enzymeactivity and stability of cytosolic Cu-Zu-superoxide dismutase.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เรื่อง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Characterization of the ferrous ion binding sites of apple 1 -aminocloprepane - 1 - carboxylate oxidase by site-directed mutagenesis.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เรื่อง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Analysis of the gene family encoding lipases in Canada rugosa by competitive reverse transcription-PCR.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เรื่อง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Lipase-catalyzed synthesis of diethanolamide in organic solvent.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bag Delaying petunia senescence by transgenic antisense ERS.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เรื่อง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Multiple mutagenesis of nonuneversal serine codons of Candida rugosa LIP2 gene and the biochemical characterization of the purified LIP2 lipase over expressed in Pichia pastoris.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เรื่อง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Novel broccoli 1-Aminoclopropane-1-carboxylate oxidase gene (Bo-ACO3) associated with the late stage of postharvest floret senescence.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เรื่อง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Seqential structural changes of E. coli thioesterase pretease1 in the serial formation of Michaelis and tetrahedral complexes with diethyl p-nitrephenyl phosphate.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เรื่อง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Crystal strcture of Escherichia coli thioesterase 1/protease 1 / lysophospholipase L1.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เรื่อง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Protein Engineering and Application of Canada rugasa Lipase Isoforms.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thylene insensitive and postharvest yellowing retardation in mutant ethylene response sensor (boers) gene transformed broccoli.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เรื่อง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Multiple mutagenesis of the Candida rugosa LIP1 gene and optimum production of recombinant LIP1 expressed in Pichia pastoris.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