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e00"/>
          <w:sz w:val="18"/>
          <w:szCs w:val="18"/>
          <w:u w:val="none"/>
          <w:shd w:fill="auto" w:val="clear"/>
          <w:vertAlign w:val="baseline"/>
          <w:rtl w:val="0"/>
        </w:rPr>
        <w:t xml:space="preserve">ราคา ไม่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700"/>
          <w:sz w:val="18"/>
          <w:szCs w:val="18"/>
          <w:u w:val="none"/>
          <w:shd w:fill="auto" w:val="clear"/>
          <w:vertAlign w:val="baseline"/>
          <w:rtl w:val="0"/>
        </w:rPr>
        <w:t xml:space="preserve">๒๒ พิธี พระราช ท า น บ ริ ญ ญ า บ ต 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 รั้ ง ที่ เmin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a00"/>
          <w:sz w:val="18"/>
          <w:szCs w:val="18"/>
          <w:u w:val="none"/>
          <w:shd w:fill="auto" w:val="clear"/>
          <w:vertAlign w:val="baseline"/>
          <w:rtl w:val="0"/>
        </w:rPr>
        <w:t xml:space="preserve">ผลงาน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28"/>
          <w:szCs w:val="28"/>
          <w:u w:val="none"/>
          <w:shd w:fill="auto" w:val="clear"/>
          <w:vertAlign w:val="baseline"/>
          <w:rtl w:val="0"/>
        </w:rPr>
        <w:t xml:space="preserve">กาย สินค้าด้วยการเชื่อมโยงเกษตรกรก้าวหน้ากับตลาดที่เน้นคุณภาพ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นายโฆสิต ปั้นเปี่ยมรัษฎ์ เป็นผู้ที่มีผลงานทางวิชาการดีเด่นจนเป็นที่ ยอมรับในวงวิชาการในฐานะนักเศรษฐศาสตร์ และนักบริหารที่มีกรอบแนวคิดใน การพัฒนาประเทศ และเป็นผู้ที่ประสบความสําเร็จอย่างยอดเยี่ยมในงานวิชาชีพจน ปรากฏเป็นที่ยอมรับเป็นประโยชน์และแบบอย่างที่ดีแก่คนทั่วไป เป็นผู้บําเพ็ญกรณียกิจ ด้วยความคิดริเริ่มจนเกิดประโยชน์แก่สังคมและประเทศชาติอย่างอเนกอนันต์ จึงนับเป็น บุคคลผู้มีเกียรติประวัติและคุณสมบัติเหมาะสมอย่างยิ่ง สมควรได้รับพระราชทาน ปริญญาปรัชญาดุษฎีบัณฑิตกิตติมศักดิ์ สาขาวิชาการพัฒนาทรัพยากรชนบท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