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8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b00"/>
          <w:sz w:val="18"/>
          <w:szCs w:val="18"/>
          <w:u w:val="none"/>
          <w:shd w:fill="auto" w:val="clear"/>
          <w:vertAlign w:val="baseline"/>
          <w:rtl w:val="0"/>
        </w:rPr>
        <w:t xml:space="preserve">the nะ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 เสียใns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6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6a7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พุทธศักราช ๒๕๔๙ จากสหพันธ์รวมใจไทยทั้งชาติ ท่านได้รับคัดเลือก ให้เป็น “ผู้ทําคุณประโยชน์ให้แก่มหาวิทยาลัยเทคโนโลยีราชมงคลธัญบุรี” พุทธศักราช ๒๕๔๙ ได้รับการคัดเลือกให้เป็น “พ่อตัวอย่างแห่งชาติ” พุทธศักราช ๒๕๕๐ รางวัลกิตติคุณสัมพันธ์ “สังข์เงิน” ครั้งที่ ๒๓ ประจําปี ๒๕๕๒-๒๕๕๓ ได้รับรางวัล “ครุฑทองคํา” ผู้บริหารราชการพลเรือน ดีเด่น ประจําปี ๒๕๕๓-๒๕๕๔ ของสมาคมข้าราชการพลเรือนแห่งประเทศไทย ได้รับรางวัลเกียรติยศ โล่เชิดชูเกียรติ โดยยกย่องให้เป็นผู้ประพฤติปฏิบัติตน ชอบด้วยความซื่อสัตย์สุจริต ประจําปี ๒๕๕๕ ของสํานักงานคณะกรรมการ ป้องกันและปราบปรามการทุจริตแห่งชาติ (ป.ป.ช.)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หม่อมหลวงปนัดดา ดิศกุล 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 แก่คนทั่วไป เป็นผู้บําเพ็ญกรณียกิจด้วยความคิดริเริ่มจนเกิดประโยชน์แก่สังคม และเป็นผู้ประกอบด้วยคุณธรรมและจริยธรรม รวมทั้งทําคุณประโยชน์สําคัญ ให้แก่สถาบันเป็นอเนกประการ นับเป็นบุคคลที่มีเกียรติประวัติและมีคุณสมบัติ เหมาะสม สมควรได้รับพระราชทานปริญญา ปรัชญาดุษฎีบัณฑิตกิตติมศักดิ์ สาขาวิชารัฐประศาสนศาสตร์ เพื่อเป็นเกียรติประวัติสืบไป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២៨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