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a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พิธีพระรามีเซaUญญาlls บนหวยล้าใช้ เพ์ที่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  <w:rtl w:val="0"/>
        </w:rPr>
        <w:t xml:space="preserve">070Gri II"นิน W.F. ๒๕๕๕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- แ7 6 5 13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นัด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e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ศิษย์เก่าและคนทั่วไป เป็นผู้ประกอบการที่ได้รับการยอมรับจากทั้งองค์กรภาครัฐ และเอกชน อีกทั้งได้อุทิศตนให้เป็นประโยชน์แก่สังคมอย่างอเนกอนันต์ ได้รังสรรค์ ปรับปรุงพันธุ์พืชสวนนานาชนิด ซึ่งเป็นประโยชน์ต่อวงวิชาการด้วยความอุตสาหะยิ่ง บําเพ็ญกรณียกิจด้วยความคิดริเริ่มจนเกิดประโยชน์แก่สังคม เป็นผู้เพียบพร้อม ด้วยคุณธรรมและจริยธรรม จึงนับได้ว่าเป็นบุคคลที่มีเกียรติประวัติและ มีคุณสมบัติเหมาะสม สมควรได้รับพระราชทานปริญญาปรัชญาดุษฎีบัณฑิต กิตติมศักดิ์ สาขาวิชาพืชสวน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