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กรรมการสภาสถาบันเทคโนโลยีการเกษตรแม่โจ้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(ปี พ.ศ.2526)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นายประเสริฐ ณ นคร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นายกสภา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นายยรรยง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สิทธิชัย</w:t>
        <w:tab/>
        <w:tab/>
        <w:tab/>
        <w:tab/>
        <w:t xml:space="preserve">อธิการบดี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อุปนายก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หม่อมเจ้าภีศเดช รัชนี </w:t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นายประมวล กุลมาตย์ </w:t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นายอาทร ชนเห็นชอบ </w:t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นายพันธุ์เลิศ บูรณศิลปิน </w:t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นายสง่า สรรพศรี </w:t>
        <w:tab/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นายสุขุม อัศเวศน์ </w:t>
        <w:tab/>
        <w:tab/>
        <w:tab/>
        <w:tab/>
        <w:t xml:space="preserve">ผู้ทรงคุณวุฒิ </w:t>
        <w:tab/>
        <w:tab/>
        <w:tab/>
        <w:t xml:space="preserve">กรรมการ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นายบุญธรรม เทศนา </w:t>
        <w:tab/>
        <w:tab/>
        <w:tab/>
        <w:t xml:space="preserve">รองอธิการบดี </w:t>
        <w:tab/>
        <w:tab/>
        <w:tab/>
        <w:t xml:space="preserve">กรรมการ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นายบุญรอด ศุภอุดมฤกษ์</w:t>
        <w:tab/>
        <w:tab/>
        <w:tab/>
        <w:t xml:space="preserve">รองอธิการบดี </w:t>
        <w:tab/>
        <w:tab/>
        <w:tab/>
        <w:t xml:space="preserve">กรรมการ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นายเทพ พงษ์พานิช </w:t>
        <w:tab/>
        <w:tab/>
        <w:tab/>
        <w:t xml:space="preserve">รองอธิการบดี </w:t>
        <w:tab/>
        <w:tab/>
        <w:tab/>
        <w:t xml:space="preserve">กรรมการ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นายสราญ เพิ่มพูล</w:t>
        <w:tab/>
        <w:tab/>
        <w:tab/>
        <w:tab/>
        <w:t xml:space="preserve">คณบดีคณะผลิตกรรม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ab/>
        <w:tab/>
        <w:tab/>
        <w:tab/>
        <w:tab/>
        <w:tab/>
        <w:t xml:space="preserve">การเกษตร</w:t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นง ยาวิชัย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คณบดีคณะธุรกิจ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นายธงไชย ทองอุทัยศรี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นักวิจัยและส่งเสริม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วิชาการการเกษตร </w:t>
        <w:tab/>
        <w:tab/>
        <w:tab/>
        <w:t xml:space="preserve">กรรมการ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