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900"/>
          <w:sz w:val="18"/>
          <w:szCs w:val="18"/>
          <w:u w:val="none"/>
          <w:shd w:fill="auto" w:val="clear"/>
          <w:vertAlign w:val="baseline"/>
          <w:rtl w:val="0"/>
        </w:rPr>
        <w:t xml:space="preserve">ปยัง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a100"/>
          <w:sz w:val="18"/>
          <w:szCs w:val="18"/>
          <w:u w:val="none"/>
          <w:shd w:fill="auto" w:val="clear"/>
          <w:vertAlign w:val="baseline"/>
          <w:rtl w:val="0"/>
        </w:rPr>
        <w:t xml:space="preserve">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59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5900"/>
          <w:sz w:val="56"/>
          <w:szCs w:val="56"/>
          <w:u w:val="none"/>
          <w:shd w:fill="auto" w:val="clear"/>
          <w:vertAlign w:val="baseline"/>
          <w:rtl w:val="0"/>
        </w:rPr>
        <w:t xml:space="preserve">ขุนจรรยาวิจารณ์ ป.ม.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53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5300"/>
          <w:sz w:val="56"/>
          <w:szCs w:val="56"/>
          <w:u w:val="none"/>
          <w:shd w:fill="auto" w:val="clear"/>
          <w:vertAlign w:val="baseline"/>
          <w:rtl w:val="0"/>
        </w:rPr>
        <w:t xml:space="preserve">อาจารผู้ปกครอง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