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  <w:rtl w:val="0"/>
        </w:rPr>
        <w:t xml:space="preserve">1-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1 Est-11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LL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  <w:rtl w:val="0"/>
        </w:rPr>
        <w:t xml:space="preserve">11 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14 15 -มเป็น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  <w:rtl w:val="0"/>
        </w:rPr>
        <w:t xml:space="preserve">EIEITE านานได้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ca00"/>
          <w:sz w:val="18"/>
          <w:szCs w:val="18"/>
          <w:u w:val="none"/>
          <w:shd w:fill="auto" w:val="clear"/>
          <w:vertAlign w:val="baseline"/>
          <w:rtl w:val="0"/>
        </w:rPr>
        <w:t xml:space="preserve">13 F ELES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12 |- 11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t 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| i | | | | | ป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cc00"/>
          <w:sz w:val="18"/>
          <w:szCs w:val="18"/>
          <w:u w:val="none"/>
          <w:shd w:fill="auto" w:val="clear"/>
          <w:vertAlign w:val="baseline"/>
          <w:rtl w:val="0"/>
        </w:rPr>
        <w:t xml:space="preserve">| | 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  <w:rtl w:val="0"/>
        </w:rPr>
        <w:t xml:space="preserve">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  <w:rtl w:val="0"/>
        </w:rPr>
        <w:t xml:space="preserve">| 11 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Til 11 |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cf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11| | | 11| 11 | 121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ki111111 11 | | | | |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ab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  <w:rtl w:val="0"/>
        </w:rPr>
        <w:t xml:space="preserve">| 11 | il til 111 11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| การ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f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  <w:rtl w:val="0"/>
        </w:rPr>
        <w:t xml:space="preserve">นวช แนนนนนนนนนนนนนนนิมาราม 11 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11 มกราคม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110 |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  <w:rtl w:val="0"/>
        </w:rPr>
        <w:t xml:space="preserve">| 11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b900"/>
          <w:sz w:val="18"/>
          <w:szCs w:val="18"/>
          <w:u w:val="none"/>
          <w:shd w:fill="auto" w:val="clear"/>
          <w:vertAlign w:val="baseline"/>
          <w:rtl w:val="0"/>
        </w:rPr>
        <w:t xml:space="preserve">รงแรม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| |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  <w:rtl w:val="0"/>
        </w:rPr>
        <w:t xml:space="preserve">| L ( 11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 1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  <w:rtl w:val="0"/>
        </w:rPr>
        <w:t xml:space="preserve">| |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  <w:rtl w:val="0"/>
        </w:rPr>
        <w:t xml:space="preserve">เรา |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500"/>
          <w:sz w:val="18"/>
          <w:szCs w:val="18"/>
          <w:u w:val="none"/>
          <w:shd w:fill="auto" w:val="clear"/>
          <w:vertAlign w:val="baseline"/>
          <w:rtl w:val="0"/>
        </w:rPr>
        <w:t xml:space="preserve">1 การเL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0c800"/>
          <w:sz w:val="18"/>
          <w:szCs w:val="18"/>
          <w:u w:val="none"/>
          <w:shd w:fill="auto" w:val="clear"/>
          <w:vertAlign w:val="baseline"/>
          <w:rtl w:val="0"/>
        </w:rPr>
        <w:t xml:space="preserve">- L กระโIE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  <w:rtl w:val="0"/>
        </w:rPr>
        <w:t xml:space="preserve">LIL 1112jit - The เE LET | 25.11 ELLE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cc00"/>
          <w:sz w:val="18"/>
          <w:szCs w:val="18"/>
          <w:u w:val="none"/>
          <w:shd w:fill="auto" w:val="clear"/>
          <w:vertAlign w:val="baseline"/>
          <w:rtl w:val="0"/>
        </w:rPr>
        <w:t xml:space="preserve">ไrta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900"/>
          <w:sz w:val="40"/>
          <w:szCs w:val="40"/>
          <w:u w:val="none"/>
          <w:shd w:fill="auto" w:val="clear"/>
          <w:vertAlign w:val="baseline"/>
          <w:rtl w:val="0"/>
        </w:rPr>
        <w:t xml:space="preserve">เรื่องให้ทบวงมหาวิทยาลัยและสถาบันเทคโนโลยี พระจอมเกล้าพิจารณาดําเนินการต่อไป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e00"/>
          <w:sz w:val="40"/>
          <w:szCs w:val="40"/>
          <w:u w:val="none"/>
          <w:shd w:fill="auto" w:val="clear"/>
          <w:vertAlign w:val="baseline"/>
          <w:rtl w:val="0"/>
        </w:rPr>
        <w:t xml:space="preserve">ตามหลักการเดิมนั้น วิทยาลัยเกษตรกรรม เชียงใหม่แม่โจ้ จะขอเป็นสถาบันสมทบของสถาบัน เทคโนโลยีพระจอมเกล้า ซึ่งขณะนั้นสังกัดกระทรวง ศึกษาธิการ แต่ได้รับการปฏิเสธ ทั้งนี้เพราะสถาบัน เทคโนโลยีพระจอมเกล้าไม่มีนโยบายที่จะจัดการ ศึกษาด้านการเกษตร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300"/>
          <w:sz w:val="40"/>
          <w:szCs w:val="40"/>
          <w:u w:val="none"/>
          <w:shd w:fill="auto" w:val="clear"/>
          <w:vertAlign w:val="baseline"/>
          <w:rtl w:val="0"/>
        </w:rPr>
        <w:t xml:space="preserve">ในที่สุดจึงได้ดําเนินการเพื่อขอยกฐานะเป็น สถาบันเทคโนโลยีการเกษตรในสังกัดทบวง มหาวิทยาลัย ซึ่งก็นับว่าเป็นโชคดีของแม่โจ้ในช่วง เหตุการณ์ขณะนั้น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800"/>
          <w:sz w:val="40"/>
          <w:szCs w:val="40"/>
          <w:u w:val="none"/>
          <w:shd w:fill="auto" w:val="clear"/>
          <w:vertAlign w:val="baseline"/>
          <w:rtl w:val="0"/>
        </w:rPr>
        <w:t xml:space="preserve">รัฐบาลได้นําร่างพระราชบัญญัติสถาบัน เทคโนโลยีการเกษตรพ.ศ.เสนอสภานิติบัญญัติ แห่งชาติเพื่อพิจารณาเมื่อวันที่ 26 เมษายน พ.ศ. 2517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500"/>
          <w:sz w:val="46"/>
          <w:szCs w:val="46"/>
          <w:u w:val="none"/>
          <w:shd w:fill="auto" w:val="clear"/>
          <w:vertAlign w:val="baseline"/>
          <w:rtl w:val="0"/>
        </w:rPr>
        <w:t xml:space="preserve">ผลการลงมติปรากฏว่าที่ประชุมสภานิติ บัญญัติแห่งชาติไม่รับหลักการร่างพระราชบัญญัติ สถาบันเทคโนโลยีการเกษตร พ.ศ. ด้วยคะแนน เสียง 60 ต่อ 40 ร่างพระราชบัญญัติฉบับนี้จึงเป็นอัน ตกไป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100"/>
          <w:sz w:val="42"/>
          <w:szCs w:val="42"/>
          <w:u w:val="none"/>
          <w:shd w:fill="auto" w:val="clear"/>
          <w:vertAlign w:val="baseline"/>
          <w:rtl w:val="0"/>
        </w:rPr>
        <w:t xml:space="preserve">อย่างไรก็ตาม ทั้งนักศึกษาและคณาจารย์ ตลอดจนบรรดาศิษย์เก่าแม่โจ้ และผู้ที่เห็นเจตนาดี อื่นๆ ก็มิได้ท้อถอย หรือยุติเรื่องเพียงแค่นั้น ได้มี การพิจารณาทบทวนข้อท้วงติงและเหตุผลต่างๆ จาก สมาชิกนิติบัญญัติแห่งชาติ ที่ไม่เห็นด้วยในหลักการ อย่างละเอียดทุกแง่มุม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c00"/>
          <w:sz w:val="42"/>
          <w:szCs w:val="42"/>
          <w:u w:val="none"/>
          <w:shd w:fill="auto" w:val="clear"/>
          <w:vertAlign w:val="baseline"/>
          <w:rtl w:val="0"/>
        </w:rPr>
        <w:t xml:space="preserve">การดําเนินงานเพื่อที่จะนําร่างพระราชบัญญัติ สถาบันเทคโนโลยีการเกษตร มาดัดแปลงแก้ไขเพื่อ เสนอให้สภานิติบัญญัติแห่งชาติใหม่อีกครั้งได้ กระทําอย่างรอบคอบโดยได้จัดพิมพ์เอกสารเผยแพร่ ข้อเท็จจริงและเหตุผลในการขอยกฐานะวิทยาลัย เป็นสถาบันเทคโนโลยีการเกษตรแก่บุคคลต่างๆ และสมาชิก สภานิติบัญญัติแห่งชาติเป็นราย เฉพาะบุคคล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e00"/>
          <w:sz w:val="42"/>
          <w:szCs w:val="42"/>
          <w:u w:val="none"/>
          <w:shd w:fill="auto" w:val="clear"/>
          <w:vertAlign w:val="baseline"/>
          <w:rtl w:val="0"/>
        </w:rPr>
        <w:t xml:space="preserve">เหตุผลที่สําคัญที่ชี้แจงทําความเข้าใจ ได้ แก่ความแตกต่างและประโยชน์ที่จะได้รับในการจัด การศึกษา เมื่อได้รับการยกฐานะเป็นสถาบัน เทคโนโลยีการเกษตรแล้ว โดยที่จะไม่ซ้ําซ้อนกับการ จัดการศึกษาของมหาวิทยาลัยที่มี คณะเกษตรศาสตร์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200"/>
          <w:sz w:val="40"/>
          <w:szCs w:val="40"/>
          <w:u w:val="none"/>
          <w:shd w:fill="auto" w:val="clear"/>
          <w:vertAlign w:val="baseline"/>
          <w:rtl w:val="0"/>
        </w:rPr>
        <w:t xml:space="preserve">อยู่แล้ว เพราะคุณสมบัติและความมุ่งหมายใน การสอนแตกต่างกัน กล่าวคือคณะเกษตรศาสตร์ ของมหาวิทยาลัยรับนักศึกษาจากผู้ที่สําเร็จการศึกษา สายสามัญ (ม.ศ.5 หรือ ม.6 ในปัจจุบัน) เข้าศึกษา ในหลักสูตรระดับปริญญาตรี ด้านการเกษตรทั่วไป โดยเน้นวิธีการศึกษาที่มุ่งไปทางวิทยาศาสตร์และ การวิจัยเพื่อเป็นฐานะในการศึกษาต่อในระดับสูง เฉพาะสาขาคือปริญญาโทและเอก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800"/>
          <w:sz w:val="34"/>
          <w:szCs w:val="34"/>
          <w:u w:val="none"/>
          <w:shd w:fill="auto" w:val="clear"/>
          <w:vertAlign w:val="baseline"/>
          <w:rtl w:val="0"/>
        </w:rPr>
        <w:t xml:space="preserve">ส่วนการจัดการศึกษาของสถาบันเทคโนโลยี การเกษตรนั้นมุ่งรับนักศึกษาสายอาชีวเกษตรเพื่อ ศึกษาต่อหลักสูตร 4 ปี และ 2 ปีตามลําดับ เป็นการ กระจายโอกาส ให้นักศึกษาอาชีวเกษตรที่มีความ สามารถทั้งด้านสติปัญญา และงานปฏิบัติได้มีโอกาส เพิ่มพูนวิชาความรู้ ประสบการณ์และการฝึกปฏิบัติถึง ระดับปริญญาได้ซึ่งนักศึกษาอาชีวเกษตรเหล่านั้น มี โอกาสที่จะศึกษาต่อในมหาวิทยาลัยในประเทศยาก มาก จึงจําเป็นต้องดิ้นรนไปศึกษาที่ต่างประเทศเช่น อินเดีย ฟิลิปปินส์ และอเมริกา เป็นต้น อีกทั้ง นโยบายและปรัชญาของการจัดการศึกษาของสถาบัน เทคโนโลยีการเกษตรมุ่งเน้นหนักไปทางปฏิบัติตาม สาขาวิชาที่ถนัดเฉพาะอย่างเพื่อให้ผู้สําเร็จการศึกษา มีความรู้ ความชํานาญ อย่างแท้จริงจน สามารถออก ไปประกอบอาชีพ โดยมิได้มุ่งหวังรับราชการ และ เป็นการให้การศึกษาเพียงชั้นปริญญาตรีเท่านั้น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400"/>
          <w:sz w:val="46"/>
          <w:szCs w:val="46"/>
          <w:u w:val="none"/>
          <w:shd w:fill="auto" w:val="clear"/>
          <w:vertAlign w:val="baseline"/>
          <w:rtl w:val="0"/>
        </w:rPr>
        <w:t xml:space="preserve">คณะรัฐมนตรีได้พิจารณาเรื่อง การยกฐานะ วิทยาลัยเกษตรกรรมเชียงใหม่แม่โจ้อีกครั้ง ในคราว ประชุมเมื่อวันที่ 20 สิงหาคม 2517 และ มีมติ เห็นชอบในหลักการโดยกําหนดให้สถาบัน เทคโนโลยีการเกษตรมีอํานาจให้ปริญญาในสาขา ที่มีการสอนในสถาบันเพียงชั้นเดียว คือ ชั้น ปริญญาตรี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500"/>
          <w:sz w:val="34"/>
          <w:szCs w:val="34"/>
          <w:u w:val="none"/>
          <w:shd w:fill="auto" w:val="clear"/>
          <w:vertAlign w:val="baseline"/>
          <w:rtl w:val="0"/>
        </w:rPr>
        <w:t xml:space="preserve">การอภิปรายร่างพระราชบัญญัติสถาบัน เทคโนโลยีการเกษตรของสภานิติบัญญัติแห่งชาติ เมื่อวันที่ 22 พฤศจิกายน 2517 จึงเป็นไปในทาง สนับสนุนและลงมติรับหลักการร่างพระราชบัญญัติ ฉบับนี้ด้วย คะแนนเสียง 87 ต่อ 9 แล้วส่งให้ กรรมาธิการฝ่ายการศึกษากําหนดแปรญัติภายใน 7 วัน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100"/>
          <w:sz w:val="42"/>
          <w:szCs w:val="42"/>
          <w:u w:val="none"/>
          <w:shd w:fill="auto" w:val="clear"/>
          <w:vertAlign w:val="baseline"/>
          <w:rtl w:val="0"/>
        </w:rPr>
        <w:t xml:space="preserve">คณะกรรมาธิการศึกษาพิจารณาเสร็จแล้วได้ เสนอให้สภานิติบัญญัติแห่งชาติพิจารณาในวาระที่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